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4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Programa de Actualización en Diseño de juegos, juguetes e interfaces lúdicas (DIJU 1)</w:t>
      </w:r>
    </w:p>
    <w:p w:rsidR="00000000" w:rsidDel="00000000" w:rsidP="00000000" w:rsidRDefault="00000000" w:rsidRPr="00000000" w14:paraId="00000002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Directora</w:t>
      </w:r>
      <w:r w:rsidDel="00000000" w:rsidR="00000000" w:rsidRPr="00000000">
        <w:rPr>
          <w:rtl w:val="0"/>
        </w:rPr>
        <w:t xml:space="preserve">: Mg. DI. María Dolores Delucchi</w:t>
      </w:r>
    </w:p>
    <w:sdt>
      <w:sdtPr>
        <w:lock w:val="contentLocked"/>
        <w:id w:val="-1540546254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66a0d7" w:space="0" w:sz="8" w:val="single"/>
              <w:left w:color="66a0d7" w:space="0" w:sz="8" w:val="single"/>
              <w:bottom w:color="66a0d7" w:space="0" w:sz="8" w:val="single"/>
              <w:right w:color="66a0d7" w:space="0" w:sz="8" w:val="single"/>
              <w:insideH w:color="66a0d7" w:space="0" w:sz="8" w:val="single"/>
              <w:insideV w:color="66a0d7" w:space="0" w:sz="8" w:val="single"/>
            </w:tblBorders>
            <w:tblLayout w:type="fixed"/>
            <w:tblLook w:val="0600"/>
          </w:tblPr>
          <w:tblGrid>
            <w:gridCol w:w="6975"/>
            <w:gridCol w:w="2625"/>
            <w:tblGridChange w:id="0">
              <w:tblGrid>
                <w:gridCol w:w="6975"/>
                <w:gridCol w:w="2625"/>
              </w:tblGrid>
            </w:tblGridChange>
          </w:tblGrid>
          <w:tr>
            <w:trPr>
              <w:cantSplit w:val="0"/>
              <w:trHeight w:val="2351.26057942708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Inicio de clases: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Abril 2026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Días y horarios: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de 19:00 a 22:00 hs.; </w:t>
                </w:r>
                <w:r w:rsidDel="00000000" w:rsidR="00000000" w:rsidRPr="00000000">
                  <w:rPr>
                    <w:rtl w:val="0"/>
                  </w:rPr>
                  <w:t xml:space="preserve">hora local Argentina.</w:t>
                </w:r>
              </w:p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Modalidad de cursada: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Aula virtual.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jc w:val="righ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</w:rPr>
                    <w:drawing>
                      <wp:inline distB="114300" distT="114300" distL="114300" distR="114300">
                        <wp:extent cx="1440000" cy="1440000"/>
                        <wp:effectExtent b="0" l="0" r="0" t="0"/>
                        <wp:docPr id="3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1440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Denominación del posgrado</w:t>
      </w:r>
      <w:r w:rsidDel="00000000" w:rsidR="00000000" w:rsidRPr="00000000">
        <w:rPr>
          <w:rtl w:val="0"/>
        </w:rPr>
        <w:t xml:space="preserve">: Programa de Actualización en Diseño de juegos, juguetes e interfaces lúdicas</w:t>
      </w:r>
    </w:p>
    <w:p w:rsidR="00000000" w:rsidDel="00000000" w:rsidP="00000000" w:rsidRDefault="00000000" w:rsidRPr="00000000" w14:paraId="00000009">
      <w:pPr>
        <w:rPr>
          <w:color w:val="353535"/>
        </w:rPr>
      </w:pPr>
      <w:r w:rsidDel="00000000" w:rsidR="00000000" w:rsidRPr="00000000">
        <w:rPr>
          <w:b w:val="1"/>
          <w:bCs w:val="1"/>
          <w:rtl w:val="0"/>
        </w:rPr>
        <w:t xml:space="preserve">Unidad Académica de la que depende el posgrado</w:t>
      </w:r>
      <w:r w:rsidDel="00000000" w:rsidR="00000000" w:rsidRPr="00000000">
        <w:rPr>
          <w:rtl w:val="0"/>
        </w:rPr>
        <w:t xml:space="preserve">: Facultad de Arquitectura, Diseño y Urbanismo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Sede/s de desarrollo de las actividades académicas del posgrado</w:t>
      </w:r>
      <w:r w:rsidDel="00000000" w:rsidR="00000000" w:rsidRPr="00000000">
        <w:rPr>
          <w:rtl w:val="0"/>
        </w:rPr>
        <w:t xml:space="preserve">: Facultad de Arquitectura, Diseño y Urbanismo – Universidad de Buenos Aires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Carga horaria: 128 hs. / 8 créditos - Duración: 1 cuatrimestre.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50" y="378000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FUNDAMENTACIÓN DEL POSGRADO</w:t>
      </w:r>
    </w:p>
    <w:p w:rsidR="00000000" w:rsidDel="00000000" w:rsidP="00000000" w:rsidRDefault="00000000" w:rsidRPr="00000000" w14:paraId="0000000E">
      <w:pPr>
        <w:spacing w:after="240" w:before="240" w:lineRule="auto"/>
        <w:ind w:right="-60"/>
        <w:jc w:val="both"/>
        <w:rPr/>
      </w:pPr>
      <w:r w:rsidDel="00000000" w:rsidR="00000000" w:rsidRPr="00000000">
        <w:rPr>
          <w:rtl w:val="0"/>
        </w:rPr>
        <w:t xml:space="preserve">El diseño de juegos, juguetes e interfaces lúdicas constituye hoy un campo interdisciplinario de El diseño de juegos, juguetes e interfaces lúdicas constituye hoy un campo interdisciplinario de alta relevancia cultural, social y tecnológica. El juego se reconoce como un fenómeno complejo que atraviesa prácticas educativas, expresiones culturales, sistemas de interacción y modos de socialización, expandiéndose desde los objetos materiales hacia experiencias digitales, inmersivas e híbridas.</w:t>
      </w:r>
    </w:p>
    <w:p w:rsidR="00000000" w:rsidDel="00000000" w:rsidP="00000000" w:rsidRDefault="00000000" w:rsidRPr="00000000" w14:paraId="0000000F">
      <w:pPr>
        <w:spacing w:after="240" w:before="240" w:lineRule="auto"/>
        <w:ind w:right="-60"/>
        <w:jc w:val="both"/>
        <w:rPr/>
      </w:pPr>
      <w:r w:rsidDel="00000000" w:rsidR="00000000" w:rsidRPr="00000000">
        <w:rPr>
          <w:rtl w:val="0"/>
        </w:rPr>
        <w:t xml:space="preserve">En la última década, el sector lúdico en Argentina ha atravesado procesos de reactivación y transformación vinculados a cambios en el consumo cultural, la incorporación de tecnologías emergentes, la expansión de emprendimientos y la creciente demanda de propuestas originales e innovadoras. Estos procesos evidencian la necesidad de contar con profesionales formados específicamente en diseño lúdico, capaces de integrar saberes culturales, productivos, comunicacionales y tecnológicos.</w:t>
      </w:r>
    </w:p>
    <w:p w:rsidR="00000000" w:rsidDel="00000000" w:rsidP="00000000" w:rsidRDefault="00000000" w:rsidRPr="00000000" w14:paraId="00000010">
      <w:pPr>
        <w:spacing w:after="240" w:before="240" w:lineRule="auto"/>
        <w:ind w:right="-60"/>
        <w:jc w:val="both"/>
        <w:rPr/>
      </w:pPr>
      <w:r w:rsidDel="00000000" w:rsidR="00000000" w:rsidRPr="00000000">
        <w:rPr>
          <w:rtl w:val="0"/>
        </w:rPr>
        <w:t xml:space="preserve">Desde 2017, la Facultad de Arquitectura, Diseño y Urbanismo de la Universidad de Buenos Aires sostiene de manera ininterrumpida el </w:t>
      </w:r>
      <w:r w:rsidDel="00000000" w:rsidR="00000000" w:rsidRPr="00000000">
        <w:rPr>
          <w:b w:val="1"/>
          <w:bCs w:val="1"/>
          <w:rtl w:val="0"/>
        </w:rPr>
        <w:t xml:space="preserve">Programa de Actualización en Diseño de Juegos, Juguetes e Interfaces Lúdicas (DIJU)</w:t>
      </w:r>
      <w:r w:rsidDel="00000000" w:rsidR="00000000" w:rsidRPr="00000000">
        <w:rPr>
          <w:rtl w:val="0"/>
        </w:rPr>
        <w:t xml:space="preserve">, que ha permitido consolidar un espacio académico reconocido, fortalecer vínculos con la industria y con instituciones educativas, y promover la profesionalización del campo mediante formación, investigación y transferencia. El recorrido acumulado y la evolución del sector muestran hoy la importancia de </w:t>
      </w:r>
      <w:r w:rsidDel="00000000" w:rsidR="00000000" w:rsidRPr="00000000">
        <w:rPr>
          <w:b w:val="1"/>
          <w:bCs w:val="1"/>
          <w:rtl w:val="0"/>
        </w:rPr>
        <w:t xml:space="preserve">actualizar, reorganizar y adecuar sus contenidos, metodologías y carga horaria</w:t>
      </w:r>
      <w:r w:rsidDel="00000000" w:rsidR="00000000" w:rsidRPr="00000000">
        <w:rPr>
          <w:rtl w:val="0"/>
        </w:rPr>
        <w:t xml:space="preserve">, con el fin de asegurar su vigencia y pertinencia frente a los cambios culturales, tecnológicos y productivos del ámbito lúdico.</w:t>
      </w:r>
    </w:p>
    <w:p w:rsidR="00000000" w:rsidDel="00000000" w:rsidP="00000000" w:rsidRDefault="00000000" w:rsidRPr="00000000" w14:paraId="00000011">
      <w:pPr>
        <w:spacing w:after="240" w:before="240" w:lineRule="auto"/>
        <w:ind w:right="-60"/>
        <w:jc w:val="both"/>
        <w:rPr/>
      </w:pPr>
      <w:r w:rsidDel="00000000" w:rsidR="00000000" w:rsidRPr="00000000">
        <w:rPr>
          <w:rtl w:val="0"/>
        </w:rPr>
        <w:t xml:space="preserve">La presente modificación del Programa responde a razones disciplinares, sociales y laborales concretas:</w:t>
        <w:br w:type="textWrapping"/>
        <w:t xml:space="preserve"> • la expansión sostenida del campo lúdico como área emergente del diseño,</w:t>
        <w:br w:type="textWrapping"/>
        <w:t xml:space="preserve"> • la necesidad de incorporar nuevos enfoques teóricos, culturales y tecnológicos,</w:t>
        <w:br w:type="textWrapping"/>
        <w:t xml:space="preserve"> • la actualización de prácticas pedagógicas y proyectuales vinculadas al diseño lúdico,</w:t>
        <w:br w:type="textWrapping"/>
        <w:t xml:space="preserve"> • la demanda creciente de perfiles especializados,</w:t>
        <w:br w:type="textWrapping"/>
        <w:t xml:space="preserve"> • y la importancia cultural del juego como mediador de aprendizajes, vínculos y significados en distintas etapas de la vida.</w:t>
      </w:r>
    </w:p>
    <w:p w:rsidR="00000000" w:rsidDel="00000000" w:rsidP="00000000" w:rsidRDefault="00000000" w:rsidRPr="00000000" w14:paraId="00000012">
      <w:pPr>
        <w:spacing w:after="240" w:before="240" w:lineRule="auto"/>
        <w:ind w:right="-60"/>
        <w:jc w:val="both"/>
        <w:rPr/>
      </w:pPr>
      <w:r w:rsidDel="00000000" w:rsidR="00000000" w:rsidRPr="00000000">
        <w:rPr>
          <w:rtl w:val="0"/>
        </w:rPr>
        <w:t xml:space="preserve">La revisión del Programa se fundamenta en la necesidad de ofrecer una formación sistemática, actualizada y situada, capaz de integrar perspectivas culturales, pedagógicas, comunicacionales, tecnológicas y proyectuales. Esta actualización contribuye a fortalecer la calidad académica del trayecto formativo, adecuándose a las transformaciones contemporáneas del diseño y favoreciendo la innovación cultural, social y productiva mediante el desarrollo de experiencias lúdicas significativas en contextos físicos y digitales.</w:t>
      </w:r>
    </w:p>
    <w:p w:rsidR="00000000" w:rsidDel="00000000" w:rsidP="00000000" w:rsidRDefault="00000000" w:rsidRPr="00000000" w14:paraId="00000013">
      <w:pPr>
        <w:spacing w:after="240" w:before="240" w:lineRule="auto"/>
        <w:ind w:right="-60"/>
        <w:jc w:val="both"/>
        <w:rPr/>
      </w:pPr>
      <w:r w:rsidDel="00000000" w:rsidR="00000000" w:rsidRPr="00000000">
        <w:rPr>
          <w:rtl w:val="0"/>
        </w:rPr>
        <w:t xml:space="preserve">De este modo, la propuesta de reorganización y actualización del Programa de Actualización en Diseño de Juegos, Juguetes e Interfaces Lúdicas permite </w:t>
      </w:r>
      <w:r w:rsidDel="00000000" w:rsidR="00000000" w:rsidRPr="00000000">
        <w:rPr>
          <w:b w:val="1"/>
          <w:bCs w:val="1"/>
          <w:rtl w:val="0"/>
        </w:rPr>
        <w:t xml:space="preserve">renovar y consolidar</w:t>
      </w:r>
      <w:r w:rsidDel="00000000" w:rsidR="00000000" w:rsidRPr="00000000">
        <w:rPr>
          <w:rtl w:val="0"/>
        </w:rPr>
        <w:t xml:space="preserve"> un área de formación pionera en el país, asegurando su continuidad, pertinencia y articulación con las necesidades actuales del campo y con las transformaciones globales en torno al juego y la cultura lúdica.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DEL POSGRADO</w:t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Brindar una formación teórico–conceptual en el campo del diseño de juegos, juguetes e interfaces lúdicas, centrada en el juego como fenómeno cultural, social y tecnológico, y desarrollar capacidades para el análisis crítico, la investigación y la formulación de encuadres proyectuales iniciales.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Específicos</w:t>
        <w:br w:type="textWrapping"/>
      </w:r>
      <w:r w:rsidDel="00000000" w:rsidR="00000000" w:rsidRPr="00000000">
        <w:rPr>
          <w:rtl w:val="0"/>
        </w:rPr>
        <w:t xml:space="preserve">Se propone: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Introducir enfoques contemporáneos sobre cultura lúdica, comunicación, narrativa, pedagogía del juego y perspectivas sociales vinculadas a la infancia y las experiencias lúdicas.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Comprender procesos de innovación, producción, materiales y tecnologías aplicadas al campo del diseño lúdico.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Analizar mercados, lenguajes comunicacionales y estrategias de posicionamiento de propuestas lúdicas en distintos contextos.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Reconocer la diversidad de usuarios, prácticas lúdicas, marcos pedagógicos y políticas públicas que intervienen en el ecosistema del juego.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Desarrollar capacidades para formular problemas de diseño, construir fundamentos proyectuales y elaborar primeros enfoques conceptuales para proyectos lúdicos.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Incorporar criterios éticos, normativos y de seguridad vinculados al desarrollo de juegos y juguetes.</w:t>
      </w:r>
    </w:p>
    <w:p w:rsidR="00000000" w:rsidDel="00000000" w:rsidP="00000000" w:rsidRDefault="00000000" w:rsidRPr="00000000" w14:paraId="0000001F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DEL EGRESADO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programa se centra en la formación de un profesional: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capacidad para insertarse en los contextos de producción local para relacionarse con las pymes fabricantes.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responsable y consciente del rol que desempeña como constructor de la cultura infantil.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contextualizado con su territorio, capaz de interpretar las necesidades de los usuarios, del mercado, y sistema productivo.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capaz de manejar e introducir nuevas tecnologías y conocimientos en la ideación de nuevas interfaces lúdicas.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egresado de este Programa estará en condiciones de: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Planificar, diseñar, desarrollar, fabricar y comercializar juegos, juguetes, interfaces lúdicas y productos destinados a la infancia en diferentes escenarios de trabajo, Mipymes, Pymes, organizaciones y cooperativas de fabricación de juguetes.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Desarrollar emprendimientos de juegos, juguetes, interfaces lúdicas y productos destinados a la infancia coordinando todas las áreas de planificación desarrollo fabricación y comercialización.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Desempeñarse como investigador en temáticas asociadas al juego, juguete, infancia.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Intervenir como asesor o consultor de proyectos relacionados al diseño y desarrollo de juguetes en áreas de diseño, gestión, fabricación, comercialización y consumo.</w:t>
      </w:r>
    </w:p>
    <w:p w:rsidR="00000000" w:rsidDel="00000000" w:rsidP="00000000" w:rsidRDefault="00000000" w:rsidRPr="00000000" w14:paraId="0000002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mismo podrá desempeñarse en: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Áreas de diseño y desarrollo de productos para empresas del sector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Empresas de fabricación de juegos juguetes e interfaces lúdicas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diseñador independiente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Estudios de diseño independiente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Emprendimientos de diseño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Instituciones y organizaciones especializadas en la temática.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br w:type="textWrapping"/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PLAN DE ESTUDIOS - RESOLUCIÓN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3710" y="3780000"/>
                          <a:ext cx="6164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bCs w:val="1"/>
          <w:rtl w:val="0"/>
        </w:rPr>
        <w:t xml:space="preserve">Coordinación de la Maestría</w:t>
      </w:r>
      <w:r w:rsidDel="00000000" w:rsidR="00000000" w:rsidRPr="00000000">
        <w:rPr>
          <w:rtl w:val="0"/>
        </w:rPr>
        <w:t xml:space="preserve">: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diju@fadu.uba.ar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Nacionales</w:t>
      </w:r>
      <w:r w:rsidDel="00000000" w:rsidR="00000000" w:rsidRPr="00000000">
        <w:rPr>
          <w:rtl w:val="0"/>
        </w:rPr>
        <w:t xml:space="preserve">: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posgrado@fadu.uba.ar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Extranjeros: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extranjerospos@fadu.uba.ar</w:t>
        </w:r>
      </w:hyperlink>
      <w:r w:rsidDel="00000000" w:rsidR="00000000" w:rsidRPr="00000000">
        <w:rPr>
          <w:rtl w:val="0"/>
        </w:rPr>
        <w:t xml:space="preserve"> </w:t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6838" w:w="11906" w:orient="portrait"/>
      <w:pgMar w:bottom="1418" w:top="226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81430"/>
          <wp:effectExtent b="0" l="0" r="0" t="0"/>
          <wp:docPr id="3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81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-396239</wp:posOffset>
          </wp:positionV>
          <wp:extent cx="6120130" cy="1153795"/>
          <wp:effectExtent b="0" l="0" r="0" t="0"/>
          <wp:wrapNone/>
          <wp:docPr id="3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64B8"/>
  </w:style>
  <w:style w:type="paragraph" w:styleId="Piedepgina">
    <w:name w:val="footer"/>
    <w:basedOn w:val="Normal"/>
    <w:link w:val="Piedepgina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64B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 w:val="1"/>
    <w:rsid w:val="00BA40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A404F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52737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53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iju@fadu.uba.ar" TargetMode="External"/><Relationship Id="rId10" Type="http://schemas.openxmlformats.org/officeDocument/2006/relationships/hyperlink" Target="https://drive.google.com/file/d/1cWYszSa-WA1esWgBdP7RTRTD_I0PGy0Y/view?usp=drive_link" TargetMode="External"/><Relationship Id="rId13" Type="http://schemas.openxmlformats.org/officeDocument/2006/relationships/hyperlink" Target="mailto:extranjerospos@fadu.uba.ar" TargetMode="External"/><Relationship Id="rId12" Type="http://schemas.openxmlformats.org/officeDocument/2006/relationships/hyperlink" Target="mailto:posgrado@fadu.uba.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fadu.uba.ar/inscripcion-ciclo-lectivo-2025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udCWKcFgoPDzSIB29izMJvvjA==">CgMxLjAaHwoBMBIaChgICVIUChJ0YWJsZS45d2IybDUzaG5qZWY4AHIhMW10UjByVHAzQXFUWE5fcWtrcE1FcFYxd1N6cXM4a0h3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2023-11-21T17:37:00Z</dcterms:created>
  <dc:creator>Comunicaciones2017</dc:creator>
</cp:coreProperties>
</file>